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FABC" w14:textId="1054756C" w:rsidR="00347C9A" w:rsidRPr="003C3EFB" w:rsidRDefault="00347C9A" w:rsidP="00347C9A">
      <w:pPr>
        <w:jc w:val="center"/>
        <w:rPr>
          <w:b/>
          <w:bCs/>
          <w:sz w:val="28"/>
          <w:szCs w:val="28"/>
          <w:lang w:val="et-EE"/>
        </w:rPr>
      </w:pPr>
      <w:proofErr w:type="spellStart"/>
      <w:r w:rsidRPr="003C3EFB">
        <w:rPr>
          <w:b/>
          <w:bCs/>
          <w:sz w:val="28"/>
          <w:szCs w:val="28"/>
          <w:lang w:val="et-EE"/>
        </w:rPr>
        <w:t>Deeptech</w:t>
      </w:r>
      <w:proofErr w:type="spellEnd"/>
      <w:r w:rsidRPr="003C3EFB">
        <w:rPr>
          <w:b/>
          <w:bCs/>
          <w:sz w:val="28"/>
          <w:szCs w:val="28"/>
          <w:lang w:val="et-EE"/>
        </w:rPr>
        <w:t xml:space="preserve"> </w:t>
      </w:r>
      <w:proofErr w:type="spellStart"/>
      <w:r w:rsidRPr="003C3EFB">
        <w:rPr>
          <w:b/>
          <w:bCs/>
          <w:sz w:val="28"/>
          <w:szCs w:val="28"/>
          <w:lang w:val="et-EE"/>
        </w:rPr>
        <w:t>Startup</w:t>
      </w:r>
      <w:proofErr w:type="spellEnd"/>
      <w:r w:rsidRPr="003C3EFB">
        <w:rPr>
          <w:b/>
          <w:bCs/>
          <w:sz w:val="28"/>
          <w:szCs w:val="28"/>
          <w:lang w:val="et-EE"/>
        </w:rPr>
        <w:t xml:space="preserve"> Network KTH IRL </w:t>
      </w:r>
      <w:proofErr w:type="spellStart"/>
      <w:r w:rsidRPr="003C3EFB">
        <w:rPr>
          <w:b/>
          <w:bCs/>
          <w:sz w:val="28"/>
          <w:szCs w:val="28"/>
          <w:lang w:val="et-EE"/>
        </w:rPr>
        <w:t>Evidence</w:t>
      </w:r>
      <w:proofErr w:type="spellEnd"/>
      <w:r w:rsidRPr="003C3EFB">
        <w:rPr>
          <w:b/>
          <w:bCs/>
          <w:sz w:val="28"/>
          <w:szCs w:val="28"/>
          <w:lang w:val="et-EE"/>
        </w:rPr>
        <w:t xml:space="preserve"> </w:t>
      </w:r>
      <w:proofErr w:type="spellStart"/>
      <w:r w:rsidRPr="003C3EFB">
        <w:rPr>
          <w:b/>
          <w:bCs/>
          <w:sz w:val="28"/>
          <w:szCs w:val="28"/>
          <w:lang w:val="et-EE"/>
        </w:rPr>
        <w:t>Report</w:t>
      </w:r>
      <w:proofErr w:type="spellEnd"/>
    </w:p>
    <w:p w14:paraId="36F42281" w14:textId="32B76F74" w:rsidR="00347C9A" w:rsidRPr="00134E6B" w:rsidRDefault="00347C9A" w:rsidP="00134E6B">
      <w:pPr>
        <w:rPr>
          <w:lang w:val="et-EE"/>
        </w:rPr>
      </w:pPr>
      <w:r w:rsidRPr="00134E6B">
        <w:t>Please review the official Innovation Readiness Level (IRL) framework from KTH Royal Institute of Technology before completing this document.</w:t>
      </w:r>
    </w:p>
    <w:p w14:paraId="060A57D8" w14:textId="6165C1A7" w:rsidR="00134E6B" w:rsidRPr="00134E6B" w:rsidRDefault="00134E6B" w:rsidP="00134E6B">
      <w:pPr>
        <w:pStyle w:val="ListParagraph"/>
        <w:numPr>
          <w:ilvl w:val="0"/>
          <w:numId w:val="3"/>
        </w:numPr>
        <w:rPr>
          <w:lang w:eastAsia="en-GB"/>
        </w:rPr>
      </w:pPr>
      <w:r w:rsidRPr="00134E6B">
        <w:rPr>
          <w:lang w:eastAsia="en-GB"/>
        </w:rPr>
        <w:t xml:space="preserve">State the </w:t>
      </w:r>
      <w:r>
        <w:rPr>
          <w:lang w:eastAsia="en-GB"/>
        </w:rPr>
        <w:t xml:space="preserve">KTH </w:t>
      </w:r>
      <w:r w:rsidRPr="00134E6B">
        <w:rPr>
          <w:lang w:eastAsia="en-GB"/>
        </w:rPr>
        <w:t>IRL level you claim to have achieved</w:t>
      </w:r>
    </w:p>
    <w:p w14:paraId="481E5DE9" w14:textId="10BDB701" w:rsidR="00347C9A" w:rsidRPr="00134E6B" w:rsidRDefault="00134E6B" w:rsidP="00134E6B">
      <w:pPr>
        <w:pStyle w:val="ListParagraph"/>
        <w:numPr>
          <w:ilvl w:val="0"/>
          <w:numId w:val="3"/>
        </w:numPr>
        <w:rPr>
          <w:lang w:eastAsia="en-GB"/>
        </w:rPr>
      </w:pPr>
      <w:r w:rsidRPr="00134E6B">
        <w:rPr>
          <w:lang w:eastAsia="en-GB"/>
        </w:rPr>
        <w:t>Describe how you meet each criterion</w:t>
      </w:r>
      <w:r>
        <w:rPr>
          <w:lang w:eastAsia="en-GB"/>
        </w:rPr>
        <w:t xml:space="preserve"> explicitly (no grouping or skipping)</w:t>
      </w:r>
    </w:p>
    <w:p w14:paraId="31DC68C8" w14:textId="53A93DB4" w:rsidR="00134E6B" w:rsidRPr="00134E6B" w:rsidRDefault="00134E6B" w:rsidP="00134E6B">
      <w:pPr>
        <w:pStyle w:val="ListParagraph"/>
        <w:numPr>
          <w:ilvl w:val="0"/>
          <w:numId w:val="3"/>
        </w:numPr>
        <w:rPr>
          <w:lang w:val="et-EE"/>
        </w:rPr>
      </w:pPr>
      <w:r w:rsidRPr="00134E6B">
        <w:t>Be specific, consistent, and evidence-based</w:t>
      </w:r>
    </w:p>
    <w:p w14:paraId="6C089250" w14:textId="722DB699" w:rsidR="00134E6B" w:rsidRPr="003C3EFB" w:rsidRDefault="00134E6B" w:rsidP="00134E6B">
      <w:pPr>
        <w:pStyle w:val="ListParagraph"/>
        <w:numPr>
          <w:ilvl w:val="0"/>
          <w:numId w:val="3"/>
        </w:numPr>
        <w:rPr>
          <w:lang w:val="et-EE"/>
        </w:rPr>
      </w:pPr>
      <w:r w:rsidRPr="00134E6B">
        <w:t>Use facts, not statements (e.g., “10 customer interviews” instead of “strong interest”)</w:t>
      </w:r>
    </w:p>
    <w:p w14:paraId="7E13B469" w14:textId="4D8E254A" w:rsidR="003C3EFB" w:rsidRPr="003C3EFB" w:rsidRDefault="003C3EFB" w:rsidP="003C3EFB">
      <w:pPr>
        <w:pStyle w:val="ListParagraph"/>
        <w:numPr>
          <w:ilvl w:val="0"/>
          <w:numId w:val="3"/>
        </w:numPr>
        <w:rPr>
          <w:lang w:val="et-EE"/>
        </w:rPr>
      </w:pPr>
      <w:r w:rsidRPr="003C3EFB">
        <w:t>Include relevant lower-level criteria if they are critical or may be unclear</w:t>
      </w:r>
    </w:p>
    <w:p w14:paraId="67F74455" w14:textId="4522B3BC" w:rsidR="00967807" w:rsidRPr="00967807" w:rsidRDefault="00134E6B" w:rsidP="00134E6B">
      <w:pPr>
        <w:rPr>
          <w:lang w:val="et-EE"/>
        </w:rPr>
      </w:pPr>
      <w:proofErr w:type="spellStart"/>
      <w:r w:rsidRPr="00134E6B">
        <w:rPr>
          <w:b/>
          <w:bCs/>
          <w:lang w:val="et-EE"/>
        </w:rPr>
        <w:t>Customer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Readiness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Level</w:t>
      </w:r>
      <w:proofErr w:type="spellEnd"/>
      <w:r w:rsidRPr="00134E6B">
        <w:rPr>
          <w:b/>
          <w:bCs/>
          <w:lang w:val="et-EE"/>
        </w:rPr>
        <w:t xml:space="preserve"> – CRL</w:t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proofErr w:type="spellStart"/>
      <w:r w:rsidR="00967807" w:rsidRPr="00967807">
        <w:rPr>
          <w:lang w:val="et-EE"/>
        </w:rPr>
        <w:t>Level</w:t>
      </w:r>
      <w:proofErr w:type="spellEnd"/>
      <w:r w:rsidR="00967807" w:rsidRPr="00967807">
        <w:rPr>
          <w:lang w:val="et-EE"/>
        </w:rPr>
        <w:t xml:space="preserve">: </w:t>
      </w:r>
      <w:r w:rsidR="00D2526A">
        <w:rPr>
          <w:lang w:val="et-E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807" w14:paraId="49735849" w14:textId="77777777" w:rsidTr="00967807">
        <w:tc>
          <w:tcPr>
            <w:tcW w:w="9016" w:type="dxa"/>
          </w:tcPr>
          <w:p w14:paraId="2284322D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Customer segmentation with initial basic customer profiles in place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Customer segmentation is explicitly defined. The target criteria are Fortune 500/Global 2000 enterprises with 1,000+ annual high-risk trips (high TTV), subject to EU GDPR and ISO 31030, with active internal Employee Resource Group (ERG) pressure.</w:t>
            </w:r>
          </w:p>
          <w:p w14:paraId="4485B54D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Identified who the user, paying customer, and decision maker is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economic buyers and decision-makers are Fortune 500 Chief Security Officers (CSOs) and Data Protection Officers (DPOs). The end-users are the marginalized workforce (LGBTQ+, neurodivergent, disabled) who receive zero-knowledge safety alerts.</w:t>
            </w:r>
          </w:p>
          <w:p w14:paraId="5889135A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A product/service hypothesis with clear positioning against customer alternatives is defined based on customer/user feedback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positioning is defined as “Stateless Safety Synthesis.” The solution provides 100% personalized travel risk intelligence with 0% GDPR Article 9 data liability, positioning directly against legacy alternatives such as International SOS that utilize non-compliant centralized data lakes or generic “flying blind” alerts.</w:t>
            </w:r>
          </w:p>
          <w:p w14:paraId="1DB84F5F" w14:textId="77777777" w:rsidR="00D2526A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  <w:sz w:val="36"/>
                <w:szCs w:val="36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The problem/need and its importance is confirmed from multiple customers or users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This specific liability gap—the collision of ISO 31030 requirements and GDPR Article 9 constraints—has been validated through active engagements, including discovery calls and follow-up workshops, with three Fortune 500 CSOs representing over €500M in aggregate total travel volume.</w:t>
            </w:r>
          </w:p>
          <w:p w14:paraId="285E6C74" w14:textId="77777777" w:rsidR="003C3EFB" w:rsidRDefault="003C3EFB" w:rsidP="00134E6B">
            <w:pPr>
              <w:rPr>
                <w:lang w:val="et-EE"/>
              </w:rPr>
            </w:pPr>
          </w:p>
        </w:tc>
      </w:tr>
    </w:tbl>
    <w:p w14:paraId="5B8D6CA1" w14:textId="77777777" w:rsidR="00967807" w:rsidRPr="00967807" w:rsidRDefault="00967807" w:rsidP="00134E6B">
      <w:pPr>
        <w:rPr>
          <w:lang w:val="et-EE"/>
        </w:rPr>
      </w:pPr>
    </w:p>
    <w:p w14:paraId="5ACF599A" w14:textId="42C24767" w:rsidR="00134E6B" w:rsidRPr="00967807" w:rsidRDefault="00134E6B" w:rsidP="00134E6B">
      <w:pPr>
        <w:rPr>
          <w:lang w:val="et-EE"/>
        </w:rPr>
      </w:pPr>
      <w:r w:rsidRPr="00134E6B">
        <w:rPr>
          <w:b/>
          <w:bCs/>
          <w:lang w:val="et-EE"/>
        </w:rPr>
        <w:t xml:space="preserve">Technology </w:t>
      </w:r>
      <w:proofErr w:type="spellStart"/>
      <w:r w:rsidRPr="00134E6B">
        <w:rPr>
          <w:b/>
          <w:bCs/>
          <w:lang w:val="et-EE"/>
        </w:rPr>
        <w:t>Readiness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Level</w:t>
      </w:r>
      <w:proofErr w:type="spellEnd"/>
      <w:r w:rsidRPr="00134E6B">
        <w:rPr>
          <w:b/>
          <w:bCs/>
          <w:lang w:val="et-EE"/>
        </w:rPr>
        <w:t xml:space="preserve"> – TRL</w:t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 w:rsidRPr="00967807">
        <w:rPr>
          <w:lang w:val="et-EE"/>
        </w:rPr>
        <w:t>Level:</w:t>
      </w:r>
      <w:r w:rsidR="00D2526A">
        <w:rPr>
          <w:lang w:val="et-E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807" w14:paraId="451F3014" w14:textId="77777777" w:rsidTr="00967807">
        <w:tc>
          <w:tcPr>
            <w:tcW w:w="9016" w:type="dxa"/>
          </w:tcPr>
          <w:p w14:paraId="61F39964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Basic components are integrated and shown to work together and produce desired results in the laboratory environment.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 xml:space="preserve"> The </w:t>
            </w:r>
            <w:proofErr w:type="spellStart"/>
            <w:r w:rsidRPr="00827CB2">
              <w:rPr>
                <w:rFonts w:ascii="Georgia" w:hAnsi="Georgia"/>
                <w:color w:val="27251E"/>
              </w:rPr>
              <w:t>DReaMAD</w:t>
            </w:r>
            <w:proofErr w:type="spellEnd"/>
            <w:r w:rsidRPr="00827CB2">
              <w:rPr>
                <w:rFonts w:ascii="Georgia" w:hAnsi="Georgia"/>
                <w:color w:val="27251E"/>
              </w:rPr>
              <w:t xml:space="preserve"> (8-Agent Debate Engine) core logic has been fully </w:t>
            </w:r>
            <w:r w:rsidRPr="00827CB2">
              <w:rPr>
                <w:rFonts w:ascii="Georgia" w:hAnsi="Georgia"/>
                <w:color w:val="27251E"/>
              </w:rPr>
              <w:lastRenderedPageBreak/>
              <w:t xml:space="preserve">engineered and validated. The MVP is 100% complete, integrating </w:t>
            </w:r>
            <w:proofErr w:type="spellStart"/>
            <w:r w:rsidRPr="00827CB2">
              <w:rPr>
                <w:rFonts w:ascii="Georgia" w:hAnsi="Georgia"/>
                <w:color w:val="27251E"/>
              </w:rPr>
              <w:t>FastAPI</w:t>
            </w:r>
            <w:proofErr w:type="spellEnd"/>
            <w:r w:rsidRPr="00827CB2">
              <w:rPr>
                <w:rFonts w:ascii="Georgia" w:hAnsi="Georgia"/>
                <w:color w:val="27251E"/>
              </w:rPr>
              <w:t xml:space="preserve"> and React Native, and has passed over 50 scenario and architecture-level tests.</w:t>
            </w:r>
          </w:p>
          <w:p w14:paraId="59506B3E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Test results give initial evidence indicating that the technology concept will work (i.e. initial validation).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 xml:space="preserve"> The transient memory enclaves successfully process traveler traits against a sovereign 30-country risk database incorporating ILGA, U.S. State Department, </w:t>
            </w:r>
            <w:proofErr w:type="spellStart"/>
            <w:r w:rsidRPr="00827CB2">
              <w:rPr>
                <w:rFonts w:ascii="Georgia" w:hAnsi="Georgia"/>
                <w:color w:val="27251E"/>
              </w:rPr>
              <w:t>Wheelmap</w:t>
            </w:r>
            <w:proofErr w:type="spellEnd"/>
            <w:r w:rsidRPr="00827CB2">
              <w:rPr>
                <w:rFonts w:ascii="Georgia" w:hAnsi="Georgia"/>
                <w:color w:val="27251E"/>
              </w:rPr>
              <w:t>, and TGEU data to output JSON risk assessments, proving the stateless concept functions without persistent data storage.</w:t>
            </w:r>
          </w:p>
          <w:p w14:paraId="7D2F0229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Active R&amp;D is initiated to develop the technology further.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Active R&amp;D is underway to transition the protocol from TRL 4 to an enterprise Beta (TRL 6) by securing EU-hosted sovereign GPU compute nodes and hardening the zero-knowledge app.</w:t>
            </w:r>
          </w:p>
          <w:p w14:paraId="0F72DA88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There is a first idea of end-user requirements/specifications and/or use cases.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primary use case is fully defined: ingesting an encrypted traveler profile on-device, generating custom mitigations via stateless multi-agent debate, and instantly burning the special-category inputs to achieve ISO 31030 compliance.</w:t>
            </w:r>
          </w:p>
          <w:p w14:paraId="1859B91C" w14:textId="77777777" w:rsidR="003C3EFB" w:rsidRDefault="003C3EFB" w:rsidP="00134E6B">
            <w:pPr>
              <w:rPr>
                <w:b/>
                <w:bCs/>
                <w:lang w:val="et-EE"/>
              </w:rPr>
            </w:pPr>
          </w:p>
        </w:tc>
      </w:tr>
    </w:tbl>
    <w:p w14:paraId="2D785BCA" w14:textId="77777777" w:rsidR="00967807" w:rsidRDefault="00967807" w:rsidP="00134E6B">
      <w:pPr>
        <w:rPr>
          <w:b/>
          <w:bCs/>
          <w:lang w:val="et-EE"/>
        </w:rPr>
      </w:pPr>
    </w:p>
    <w:p w14:paraId="5A75B0F8" w14:textId="2DAC8A9D" w:rsidR="00134E6B" w:rsidRPr="00967807" w:rsidRDefault="00134E6B" w:rsidP="00134E6B">
      <w:pPr>
        <w:rPr>
          <w:lang w:val="et-EE"/>
        </w:rPr>
      </w:pPr>
      <w:r w:rsidRPr="00134E6B">
        <w:rPr>
          <w:b/>
          <w:bCs/>
          <w:lang w:val="et-EE"/>
        </w:rPr>
        <w:t xml:space="preserve">Business </w:t>
      </w:r>
      <w:proofErr w:type="spellStart"/>
      <w:r w:rsidRPr="00134E6B">
        <w:rPr>
          <w:b/>
          <w:bCs/>
          <w:lang w:val="et-EE"/>
        </w:rPr>
        <w:t>Readiness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Level</w:t>
      </w:r>
      <w:proofErr w:type="spellEnd"/>
      <w:r w:rsidRPr="00134E6B">
        <w:rPr>
          <w:b/>
          <w:bCs/>
          <w:lang w:val="et-EE"/>
        </w:rPr>
        <w:t xml:space="preserve"> – BRL</w:t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 w:rsidRPr="00967807">
        <w:rPr>
          <w:lang w:val="et-EE"/>
        </w:rPr>
        <w:t>Level:</w:t>
      </w:r>
      <w:r w:rsidR="00D2526A">
        <w:rPr>
          <w:lang w:val="et-E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807" w14:paraId="2ADFED09" w14:textId="77777777" w:rsidTr="00967807">
        <w:tc>
          <w:tcPr>
            <w:tcW w:w="9016" w:type="dxa"/>
          </w:tcPr>
          <w:p w14:paraId="3217E6D8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First calculations of main costs and revenues (including pricing) show possible economic viability.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B2B SaaS business model targets €25k–€100k ACV annual contracts scaled by Total Travel Volume (TTV). Variable costs are modeled at 60% during early scaling due to dynamic GPU compute demands, projecting 80% gross margins post-scale.</w:t>
            </w:r>
          </w:p>
          <w:p w14:paraId="59FFCD46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Well defined possible target market(s) description (TAM, SAM, SOM, value chain, geographical scope).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Market sizing is established at €3.7B TAM (global PET intersection) and €200M SAM, targeting the 97% of Fortune 500 firms facing the “ERG Squeeze,” with a clear path to €100M ARR by positioning as a B2B2B API privacy layer for legacy travel management companies and security providers.</w:t>
            </w:r>
          </w:p>
          <w:p w14:paraId="4572EA58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Suggested own positioning in competitive landscape.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Third Rail Systems is positioned as a decentralized privacy layer, distinct from legacy physical security incumbents such as Crisis24 and administrative logistics tools such as Navan and SAP Concur, whose centralized data architectures prevent stateless compliance.</w:t>
            </w:r>
          </w:p>
          <w:p w14:paraId="64950BBB" w14:textId="77777777" w:rsidR="00D2526A" w:rsidRPr="00827CB2" w:rsidRDefault="00D2526A" w:rsidP="00D2526A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SDG assessment outlining positive and negative impact of business.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 xml:space="preserve"> The company adheres to the EU “Do No Significant Harm” (DNSH) </w:t>
            </w:r>
            <w:r w:rsidRPr="00827CB2">
              <w:rPr>
                <w:rFonts w:ascii="Georgia" w:hAnsi="Georgia"/>
                <w:color w:val="27251E"/>
              </w:rPr>
              <w:lastRenderedPageBreak/>
              <w:t>principle. Environmental impact is mitigated by eliminating persistent data lakes and utilizing EU-renewable GPU compute. Social impact is driven by serving marginalized communities without surveillance risk through Privacy-by-Design.</w:t>
            </w:r>
          </w:p>
          <w:p w14:paraId="0F5AD667" w14:textId="77777777" w:rsidR="003C3EFB" w:rsidRPr="00827CB2" w:rsidRDefault="003C3EFB" w:rsidP="00134E6B">
            <w:pPr>
              <w:rPr>
                <w:b/>
                <w:bCs/>
                <w:lang w:val="et-EE"/>
              </w:rPr>
            </w:pPr>
          </w:p>
        </w:tc>
      </w:tr>
    </w:tbl>
    <w:p w14:paraId="512273BF" w14:textId="77777777" w:rsidR="00967807" w:rsidRPr="00134E6B" w:rsidRDefault="00967807" w:rsidP="00134E6B">
      <w:pPr>
        <w:rPr>
          <w:b/>
          <w:bCs/>
          <w:lang w:val="et-EE"/>
        </w:rPr>
      </w:pPr>
    </w:p>
    <w:p w14:paraId="547B8FCF" w14:textId="4B08EE07" w:rsidR="00134E6B" w:rsidRPr="00967807" w:rsidRDefault="00134E6B" w:rsidP="00134E6B">
      <w:pPr>
        <w:rPr>
          <w:lang w:val="et-EE"/>
        </w:rPr>
      </w:pPr>
      <w:r w:rsidRPr="00134E6B">
        <w:rPr>
          <w:b/>
          <w:bCs/>
          <w:lang w:val="et-EE"/>
        </w:rPr>
        <w:t xml:space="preserve">IPR </w:t>
      </w:r>
      <w:proofErr w:type="spellStart"/>
      <w:r w:rsidRPr="00134E6B">
        <w:rPr>
          <w:b/>
          <w:bCs/>
          <w:lang w:val="et-EE"/>
        </w:rPr>
        <w:t>Readiness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Level</w:t>
      </w:r>
      <w:proofErr w:type="spellEnd"/>
      <w:r w:rsidRPr="00134E6B">
        <w:rPr>
          <w:b/>
          <w:bCs/>
          <w:lang w:val="et-EE"/>
        </w:rPr>
        <w:t xml:space="preserve"> – IPRL</w:t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 w:rsidRPr="00967807">
        <w:rPr>
          <w:lang w:val="et-EE"/>
        </w:rPr>
        <w:t>Level:</w:t>
      </w:r>
      <w:r w:rsidR="00D2526A">
        <w:rPr>
          <w:lang w:val="et-E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807" w14:paraId="42E3DD9F" w14:textId="77777777" w:rsidTr="00967807">
        <w:tc>
          <w:tcPr>
            <w:tcW w:w="9016" w:type="dxa"/>
          </w:tcPr>
          <w:p w14:paraId="53F4AB6E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Confirmed possibilities for protection of key IPR through searches/analysis by a professional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commercial IP is independently owned and held by Third Rail Systems OÜ. The core proprietary architecture and stateless mobile application have been developed entirely in-house.</w:t>
            </w:r>
          </w:p>
          <w:p w14:paraId="6C616DE7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Analyzed the key IPR and what the priorities should be for what to protect to create value for the business/project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patentable priority is the method of “Stateless Safety Synthesis”: the transient processing of special-category demographic data in decentralized 8-agent AI enclaves to generate bespoke risk mitigations without writing sensitive inputs to a database.</w:t>
            </w:r>
          </w:p>
          <w:p w14:paraId="70C23A0A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Possibly filed first IPR application/registration in some less elaborate form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While utility patents are being explored, the core architecture (</w:t>
            </w:r>
            <w:proofErr w:type="spellStart"/>
            <w:r w:rsidRPr="00827CB2">
              <w:rPr>
                <w:rFonts w:ascii="Georgia" w:hAnsi="Georgia"/>
                <w:color w:val="27251E"/>
              </w:rPr>
              <w:t>DReaMAD</w:t>
            </w:r>
            <w:proofErr w:type="spellEnd"/>
            <w:r w:rsidRPr="00827CB2">
              <w:rPr>
                <w:rFonts w:ascii="Georgia" w:hAnsi="Georgia"/>
                <w:color w:val="27251E"/>
              </w:rPr>
              <w:t xml:space="preserve"> engine) and associated trade secrets have been functionally documented and locked within the Estonian legal entity (Registry Code: 17488655), with counsel being engaged to assess patentability.</w:t>
            </w:r>
          </w:p>
          <w:p w14:paraId="7A73ADEA" w14:textId="77777777" w:rsidR="003C3EFB" w:rsidRDefault="003C3EFB" w:rsidP="00134E6B">
            <w:pPr>
              <w:rPr>
                <w:b/>
                <w:bCs/>
                <w:lang w:val="et-EE"/>
              </w:rPr>
            </w:pPr>
          </w:p>
        </w:tc>
      </w:tr>
    </w:tbl>
    <w:p w14:paraId="2CBC9332" w14:textId="77777777" w:rsidR="00967807" w:rsidRPr="00134E6B" w:rsidRDefault="00967807" w:rsidP="00134E6B">
      <w:pPr>
        <w:rPr>
          <w:b/>
          <w:bCs/>
          <w:lang w:val="et-EE"/>
        </w:rPr>
      </w:pPr>
    </w:p>
    <w:p w14:paraId="11AB603D" w14:textId="556CB67E" w:rsidR="00134E6B" w:rsidRPr="00967807" w:rsidRDefault="00134E6B" w:rsidP="00134E6B">
      <w:pPr>
        <w:rPr>
          <w:lang w:val="et-EE"/>
        </w:rPr>
      </w:pPr>
      <w:r w:rsidRPr="00134E6B">
        <w:rPr>
          <w:b/>
          <w:bCs/>
          <w:lang w:val="et-EE"/>
        </w:rPr>
        <w:t xml:space="preserve">Team </w:t>
      </w:r>
      <w:proofErr w:type="spellStart"/>
      <w:r w:rsidRPr="00134E6B">
        <w:rPr>
          <w:b/>
          <w:bCs/>
          <w:lang w:val="et-EE"/>
        </w:rPr>
        <w:t>Readiness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Level</w:t>
      </w:r>
      <w:proofErr w:type="spellEnd"/>
      <w:r w:rsidRPr="00134E6B">
        <w:rPr>
          <w:b/>
          <w:bCs/>
          <w:lang w:val="et-EE"/>
        </w:rPr>
        <w:t xml:space="preserve"> – TMRL</w:t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 w:rsidRPr="00967807">
        <w:rPr>
          <w:lang w:val="et-EE"/>
        </w:rPr>
        <w:t>Level:</w:t>
      </w:r>
      <w:r w:rsidR="00827CB2">
        <w:rPr>
          <w:lang w:val="et-E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807" w14:paraId="275C6C60" w14:textId="77777777" w:rsidTr="00967807">
        <w:tc>
          <w:tcPr>
            <w:tcW w:w="9016" w:type="dxa"/>
          </w:tcPr>
          <w:p w14:paraId="0B9C7152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An initial founding team working together and all spending significant time. The founding team jointly having main needed competencies and capacity to start building this startup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founding team consists of two fully committed members: a CEO with 20 years of military combat risk operations experience and a CTO dedicated to engineering the minimum-disclosure cryptographic architecture. 100% of executive time is dedicated to the venture.</w:t>
            </w:r>
          </w:p>
          <w:p w14:paraId="0BB4107D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Aligned team with clarified roles, shared goals and visions, and clear commitment (e.g. time spent)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Roles are strictly defined: the CEO handles commercial execution and capital formation, while the CTO leads algorithmic validation and deep tech engineering. Commitment is total, with the CEO’s personal living expenses fully covered by a military pension to maximize capital efficiency.</w:t>
            </w:r>
          </w:p>
          <w:p w14:paraId="15E939A5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lastRenderedPageBreak/>
              <w:t>Criteria:</w:t>
            </w:r>
            <w:r w:rsidRPr="00827CB2">
              <w:rPr>
                <w:rFonts w:ascii="Georgia" w:hAnsi="Georgia"/>
                <w:color w:val="27251E"/>
              </w:rPr>
              <w:t xml:space="preserve"> The team has agreed on their respective shares (signed agreement). Ownership is balanced and </w:t>
            </w:r>
            <w:proofErr w:type="gramStart"/>
            <w:r w:rsidRPr="00827CB2">
              <w:rPr>
                <w:rFonts w:ascii="Georgia" w:hAnsi="Georgia"/>
                <w:color w:val="27251E"/>
              </w:rPr>
              <w:t>incentivizing, and</w:t>
            </w:r>
            <w:proofErr w:type="gramEnd"/>
            <w:r w:rsidRPr="00827CB2">
              <w:rPr>
                <w:rFonts w:ascii="Georgia" w:hAnsi="Georgia"/>
                <w:color w:val="27251E"/>
              </w:rPr>
              <w:t xml:space="preserve"> reflects historical and future commitment and contribution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The company is formally incorporated as Third Rail Systems OÜ in Estonia, and the capitalization table and founder equity split are fully established to support the current €400k SAFE round syndication.</w:t>
            </w:r>
          </w:p>
          <w:p w14:paraId="2F552531" w14:textId="54C37AC0" w:rsidR="00827CB2" w:rsidRPr="00952407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Activities to get additional competencies and capacity in progress, keeping in mind team diversity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</w:t>
            </w:r>
            <w:r w:rsidR="00952407" w:rsidRPr="00952407">
              <w:rPr>
                <w:rFonts w:ascii="Georgia" w:hAnsi="Georgia"/>
              </w:rPr>
              <w:t xml:space="preserve">The team has initiated a recruitment plan to hire five specialized </w:t>
            </w:r>
            <w:proofErr w:type="spellStart"/>
            <w:r w:rsidR="00952407" w:rsidRPr="00952407">
              <w:rPr>
                <w:rFonts w:ascii="Georgia" w:hAnsi="Georgia"/>
              </w:rPr>
              <w:t>DeepTech</w:t>
            </w:r>
            <w:proofErr w:type="spellEnd"/>
            <w:r w:rsidR="00952407" w:rsidRPr="00952407">
              <w:rPr>
                <w:rFonts w:ascii="Georgia" w:hAnsi="Georgia"/>
              </w:rPr>
              <w:t xml:space="preserve"> and SecOps engineers in Tallinn over the next 12 months. We have formally executed a Scientific Advisory Agreement with Dr. Sidra Azmat Butt, an active researcher at </w:t>
            </w:r>
            <w:proofErr w:type="spellStart"/>
            <w:r w:rsidR="00952407" w:rsidRPr="00952407">
              <w:rPr>
                <w:rFonts w:ascii="Georgia" w:hAnsi="Georgia"/>
              </w:rPr>
              <w:t>TalTech</w:t>
            </w:r>
            <w:proofErr w:type="spellEnd"/>
            <w:r w:rsidR="00952407" w:rsidRPr="00952407">
              <w:rPr>
                <w:rFonts w:ascii="Georgia" w:hAnsi="Georgia"/>
              </w:rPr>
              <w:t xml:space="preserve"> specializing in AI Governance, to serve as our Head of Algorithmic Validation. This satisfies the institutional academic linkage requirement and provides rigorous, third-party oversight for our EU AI Act </w:t>
            </w:r>
            <w:proofErr w:type="gramStart"/>
            <w:r w:rsidR="00952407" w:rsidRPr="00952407">
              <w:rPr>
                <w:rFonts w:ascii="Georgia" w:hAnsi="Georgia"/>
              </w:rPr>
              <w:t>compliance.</w:t>
            </w:r>
            <w:r w:rsidRPr="00952407">
              <w:rPr>
                <w:rFonts w:ascii="Georgia" w:hAnsi="Georgia"/>
                <w:color w:val="27251E"/>
              </w:rPr>
              <w:t>.</w:t>
            </w:r>
            <w:proofErr w:type="gramEnd"/>
          </w:p>
          <w:p w14:paraId="3E6E4511" w14:textId="77777777" w:rsidR="003C3EFB" w:rsidRDefault="003C3EFB" w:rsidP="00134E6B">
            <w:pPr>
              <w:rPr>
                <w:b/>
                <w:bCs/>
                <w:lang w:val="et-EE"/>
              </w:rPr>
            </w:pPr>
          </w:p>
        </w:tc>
      </w:tr>
    </w:tbl>
    <w:p w14:paraId="2F7D6A2A" w14:textId="77777777" w:rsidR="00967807" w:rsidRPr="00134E6B" w:rsidRDefault="00967807" w:rsidP="00134E6B">
      <w:pPr>
        <w:rPr>
          <w:b/>
          <w:bCs/>
          <w:lang w:val="et-EE"/>
        </w:rPr>
      </w:pPr>
    </w:p>
    <w:p w14:paraId="5721BBD5" w14:textId="445E750C" w:rsidR="00134E6B" w:rsidRPr="00967807" w:rsidRDefault="00134E6B" w:rsidP="00134E6B">
      <w:pPr>
        <w:rPr>
          <w:lang w:val="et-EE"/>
        </w:rPr>
      </w:pPr>
      <w:proofErr w:type="spellStart"/>
      <w:r w:rsidRPr="00134E6B">
        <w:rPr>
          <w:b/>
          <w:bCs/>
          <w:lang w:val="et-EE"/>
        </w:rPr>
        <w:t>Funding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Readiness</w:t>
      </w:r>
      <w:proofErr w:type="spellEnd"/>
      <w:r w:rsidRPr="00134E6B">
        <w:rPr>
          <w:b/>
          <w:bCs/>
          <w:lang w:val="et-EE"/>
        </w:rPr>
        <w:t xml:space="preserve"> </w:t>
      </w:r>
      <w:proofErr w:type="spellStart"/>
      <w:r w:rsidRPr="00134E6B">
        <w:rPr>
          <w:b/>
          <w:bCs/>
          <w:lang w:val="et-EE"/>
        </w:rPr>
        <w:t>Level</w:t>
      </w:r>
      <w:proofErr w:type="spellEnd"/>
      <w:r w:rsidRPr="00134E6B">
        <w:rPr>
          <w:b/>
          <w:bCs/>
          <w:lang w:val="et-EE"/>
        </w:rPr>
        <w:t xml:space="preserve"> – FRL</w:t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>
        <w:rPr>
          <w:b/>
          <w:bCs/>
          <w:lang w:val="et-EE"/>
        </w:rPr>
        <w:tab/>
      </w:r>
      <w:r w:rsidR="00967807" w:rsidRPr="00967807">
        <w:rPr>
          <w:lang w:val="et-EE"/>
        </w:rPr>
        <w:t>Level:</w:t>
      </w:r>
      <w:r w:rsidR="00827CB2">
        <w:rPr>
          <w:lang w:val="et-E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807" w14:paraId="0559A435" w14:textId="77777777" w:rsidTr="00967807">
        <w:tc>
          <w:tcPr>
            <w:tcW w:w="9016" w:type="dxa"/>
          </w:tcPr>
          <w:p w14:paraId="0D7274B6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Draft of costs and activities in a development/project plan (e.g. 6–12 months). Insight into overall funding needs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 xml:space="preserve"> A precise 12-month grant allocation plan is drafted for the €120k </w:t>
            </w:r>
            <w:proofErr w:type="spellStart"/>
            <w:r w:rsidRPr="00827CB2">
              <w:rPr>
                <w:rFonts w:ascii="Georgia" w:hAnsi="Georgia"/>
                <w:color w:val="27251E"/>
              </w:rPr>
              <w:t>Tehnopol</w:t>
            </w:r>
            <w:proofErr w:type="spellEnd"/>
            <w:r w:rsidRPr="00827CB2">
              <w:rPr>
                <w:rFonts w:ascii="Georgia" w:hAnsi="Georgia"/>
                <w:color w:val="27251E"/>
              </w:rPr>
              <w:t xml:space="preserve"> funding: 40% (€48k) for EU-hosted sovereign GPU compute, 30% (€36k) for independent DPO/GDPR audits, and 30% (€36k) for an Estonian SecOps engineer.</w:t>
            </w:r>
          </w:p>
          <w:p w14:paraId="7AF43438" w14:textId="77777777" w:rsidR="00827CB2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Identified relevant funding sources for next stages of development/project plan.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 xml:space="preserve"> The </w:t>
            </w:r>
            <w:proofErr w:type="spellStart"/>
            <w:r w:rsidRPr="00827CB2">
              <w:rPr>
                <w:rFonts w:ascii="Georgia" w:hAnsi="Georgia"/>
                <w:color w:val="27251E"/>
              </w:rPr>
              <w:t>Tehnopol</w:t>
            </w:r>
            <w:proofErr w:type="spellEnd"/>
            <w:r w:rsidRPr="00827CB2">
              <w:rPr>
                <w:rFonts w:ascii="Georgia" w:hAnsi="Georgia"/>
                <w:color w:val="27251E"/>
              </w:rPr>
              <w:t xml:space="preserve"> </w:t>
            </w:r>
            <w:proofErr w:type="spellStart"/>
            <w:r w:rsidRPr="00827CB2">
              <w:rPr>
                <w:rFonts w:ascii="Georgia" w:hAnsi="Georgia"/>
                <w:color w:val="27251E"/>
              </w:rPr>
              <w:t>DeepTech</w:t>
            </w:r>
            <w:proofErr w:type="spellEnd"/>
            <w:r w:rsidRPr="00827CB2">
              <w:rPr>
                <w:rFonts w:ascii="Georgia" w:hAnsi="Georgia"/>
                <w:color w:val="27251E"/>
              </w:rPr>
              <w:t xml:space="preserve"> Accelerator has been identified as the primary non-dilutive funding source for the validation phase, alongside an active pre-seed syndication.</w:t>
            </w:r>
          </w:p>
          <w:p w14:paraId="7603099C" w14:textId="063042C5" w:rsidR="00967807" w:rsidRPr="00827CB2" w:rsidRDefault="00827CB2" w:rsidP="00827CB2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DFBFA"/>
              <w:rPr>
                <w:rFonts w:ascii="Georgia" w:hAnsi="Georgia"/>
                <w:color w:val="27251E"/>
              </w:rPr>
            </w:pP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Criteria:</w:t>
            </w:r>
            <w:r w:rsidRPr="00827CB2">
              <w:rPr>
                <w:rFonts w:ascii="Georgia" w:hAnsi="Georgia"/>
                <w:color w:val="27251E"/>
              </w:rPr>
              <w:t> Initiated efforts to secure funding</w:t>
            </w:r>
            <w:r w:rsidRPr="00827CB2">
              <w:rPr>
                <w:rFonts w:ascii="Georgia" w:hAnsi="Georgia"/>
                <w:color w:val="27251E"/>
              </w:rPr>
              <w:br/>
            </w:r>
            <w:r w:rsidRPr="00827CB2">
              <w:rPr>
                <w:rStyle w:val="Strong"/>
                <w:rFonts w:ascii="Georgia" w:hAnsi="Georgia"/>
                <w:color w:val="27251E"/>
                <w:bdr w:val="single" w:sz="2" w:space="0" w:color="auto" w:frame="1"/>
              </w:rPr>
              <w:t>Evidence:</w:t>
            </w:r>
            <w:r w:rsidRPr="00827CB2">
              <w:rPr>
                <w:rFonts w:ascii="Georgia" w:hAnsi="Georgia"/>
                <w:color w:val="27251E"/>
              </w:rPr>
              <w:t> A €400,000 pre-seed SAFE round is currently being syndicated, with €50k already soft-circled by venture partners including Jarren/Identity.vc, with an explicit target of closing by August 2026 to fund enterprise Beta deployment.</w:t>
            </w:r>
          </w:p>
          <w:p w14:paraId="5A5EE3E5" w14:textId="77777777" w:rsidR="003C3EFB" w:rsidRDefault="003C3EFB" w:rsidP="00134E6B">
            <w:pPr>
              <w:rPr>
                <w:b/>
                <w:bCs/>
                <w:lang w:val="et-EE"/>
              </w:rPr>
            </w:pPr>
          </w:p>
        </w:tc>
      </w:tr>
    </w:tbl>
    <w:p w14:paraId="6EAB6A58" w14:textId="77777777" w:rsidR="00967807" w:rsidRPr="00134E6B" w:rsidRDefault="00967807" w:rsidP="00134E6B">
      <w:pPr>
        <w:rPr>
          <w:b/>
          <w:bCs/>
          <w:lang w:val="et-EE"/>
        </w:rPr>
      </w:pPr>
    </w:p>
    <w:p w14:paraId="33E2D205" w14:textId="77777777" w:rsidR="00134E6B" w:rsidRPr="00134E6B" w:rsidRDefault="00134E6B" w:rsidP="00134E6B">
      <w:pPr>
        <w:rPr>
          <w:lang w:val="et-EE"/>
        </w:rPr>
      </w:pPr>
    </w:p>
    <w:sectPr w:rsidR="00134E6B" w:rsidRPr="00134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D282" w14:textId="77777777" w:rsidR="00182AC6" w:rsidRDefault="00182AC6" w:rsidP="00793D99">
      <w:pPr>
        <w:spacing w:after="0" w:line="240" w:lineRule="auto"/>
      </w:pPr>
      <w:r>
        <w:separator/>
      </w:r>
    </w:p>
  </w:endnote>
  <w:endnote w:type="continuationSeparator" w:id="0">
    <w:p w14:paraId="07EF6A5D" w14:textId="77777777" w:rsidR="00182AC6" w:rsidRDefault="00182AC6" w:rsidP="0079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96AB" w14:textId="77777777" w:rsidR="00793D99" w:rsidRDefault="0079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C186" w14:textId="7CED891C" w:rsidR="00793D99" w:rsidRDefault="00793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2C41" w14:textId="77777777" w:rsidR="00793D99" w:rsidRDefault="00793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D80E" w14:textId="77777777" w:rsidR="00182AC6" w:rsidRDefault="00182AC6" w:rsidP="00793D99">
      <w:pPr>
        <w:spacing w:after="0" w:line="240" w:lineRule="auto"/>
      </w:pPr>
      <w:r>
        <w:separator/>
      </w:r>
    </w:p>
  </w:footnote>
  <w:footnote w:type="continuationSeparator" w:id="0">
    <w:p w14:paraId="724386E6" w14:textId="77777777" w:rsidR="00182AC6" w:rsidRDefault="00182AC6" w:rsidP="0079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B253" w14:textId="77777777" w:rsidR="00793D99" w:rsidRDefault="00793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C0E4" w14:textId="0BDC0099" w:rsidR="00793D99" w:rsidRDefault="00793D99">
    <w:pPr>
      <w:pStyle w:val="Header"/>
    </w:pPr>
    <w:r>
      <w:rPr>
        <w:noProof/>
      </w:rPr>
      <w:drawing>
        <wp:inline distT="0" distB="0" distL="0" distR="0" wp14:anchorId="120F991E" wp14:editId="7BAD87B3">
          <wp:extent cx="5731510" cy="378460"/>
          <wp:effectExtent l="0" t="0" r="0" b="2540"/>
          <wp:docPr id="6862327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232739" name="Picture 686232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E1521" w14:textId="77777777" w:rsidR="00793D99" w:rsidRDefault="00793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25B3" w14:textId="77777777" w:rsidR="00793D99" w:rsidRDefault="0079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570"/>
    <w:multiLevelType w:val="hybridMultilevel"/>
    <w:tmpl w:val="72C8F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3B1D"/>
    <w:multiLevelType w:val="hybridMultilevel"/>
    <w:tmpl w:val="44ACF784"/>
    <w:lvl w:ilvl="0" w:tplc="47E0CAD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F1275"/>
    <w:multiLevelType w:val="hybridMultilevel"/>
    <w:tmpl w:val="A6906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335016">
    <w:abstractNumId w:val="2"/>
  </w:num>
  <w:num w:numId="2" w16cid:durableId="1866404245">
    <w:abstractNumId w:val="1"/>
  </w:num>
  <w:num w:numId="3" w16cid:durableId="11237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A"/>
    <w:rsid w:val="000834E0"/>
    <w:rsid w:val="00134E6B"/>
    <w:rsid w:val="00182AC6"/>
    <w:rsid w:val="002D7FAD"/>
    <w:rsid w:val="00347C9A"/>
    <w:rsid w:val="003C3EFB"/>
    <w:rsid w:val="0054201D"/>
    <w:rsid w:val="00567CE0"/>
    <w:rsid w:val="005A1C0B"/>
    <w:rsid w:val="00793D99"/>
    <w:rsid w:val="00827CB2"/>
    <w:rsid w:val="00952407"/>
    <w:rsid w:val="00967807"/>
    <w:rsid w:val="00D2526A"/>
    <w:rsid w:val="00F9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BFE4"/>
  <w15:chartTrackingRefBased/>
  <w15:docId w15:val="{50F747F8-45A3-6047-B5CD-68F53D0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C9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47C9A"/>
  </w:style>
  <w:style w:type="character" w:customStyle="1" w:styleId="whitespace-normal">
    <w:name w:val="whitespace-normal"/>
    <w:basedOn w:val="DefaultParagraphFont"/>
    <w:rsid w:val="00347C9A"/>
  </w:style>
  <w:style w:type="character" w:styleId="Strong">
    <w:name w:val="Strong"/>
    <w:basedOn w:val="DefaultParagraphFont"/>
    <w:uiPriority w:val="22"/>
    <w:qFormat/>
    <w:rsid w:val="00134E6B"/>
    <w:rPr>
      <w:b/>
      <w:bCs/>
    </w:rPr>
  </w:style>
  <w:style w:type="table" w:styleId="TableGrid">
    <w:name w:val="Table Grid"/>
    <w:basedOn w:val="TableNormal"/>
    <w:uiPriority w:val="39"/>
    <w:rsid w:val="009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99"/>
  </w:style>
  <w:style w:type="paragraph" w:styleId="Footer">
    <w:name w:val="footer"/>
    <w:basedOn w:val="Normal"/>
    <w:link w:val="FooterChar"/>
    <w:uiPriority w:val="99"/>
    <w:unhideWhenUsed/>
    <w:rsid w:val="00793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99"/>
  </w:style>
  <w:style w:type="paragraph" w:customStyle="1" w:styleId="my-2">
    <w:name w:val="my-2"/>
    <w:basedOn w:val="Normal"/>
    <w:rsid w:val="00D2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Libe</dc:creator>
  <cp:keywords/>
  <dc:description/>
  <cp:lastModifiedBy>Levi Hankins</cp:lastModifiedBy>
  <cp:revision>2</cp:revision>
  <dcterms:created xsi:type="dcterms:W3CDTF">2026-05-05T17:49:00Z</dcterms:created>
  <dcterms:modified xsi:type="dcterms:W3CDTF">2026-05-05T17:49:00Z</dcterms:modified>
</cp:coreProperties>
</file>